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6F" w:rsidRDefault="0026456F" w:rsidP="0026456F">
      <w:pPr>
        <w:jc w:val="center"/>
        <w:rPr>
          <w:rFonts w:ascii="Tw Cen MT Condensed Extra Bold" w:hAnsi="Tw Cen MT Condensed Extra Bold"/>
          <w:sz w:val="40"/>
        </w:rPr>
      </w:pPr>
      <w:bookmarkStart w:id="0" w:name="_GoBack"/>
      <w:bookmarkEnd w:id="0"/>
      <w:r>
        <w:rPr>
          <w:rFonts w:ascii="Tw Cen MT Condensed Extra Bold" w:hAnsi="Tw Cen MT Condensed Extra Bold"/>
          <w:sz w:val="40"/>
        </w:rPr>
        <w:t>“Why Study History?” Historical Reasoning Activity (Teacher Intro.)</w:t>
      </w:r>
    </w:p>
    <w:p w:rsidR="0026456F" w:rsidRDefault="0026456F" w:rsidP="0026456F">
      <w:pPr>
        <w:rPr>
          <w:rFonts w:cstheme="minorHAnsi"/>
        </w:rPr>
      </w:pPr>
      <w:r>
        <w:rPr>
          <w:rFonts w:cstheme="minorHAnsi"/>
        </w:rPr>
        <w:t xml:space="preserve">Teachers: I created this with the intent of making my “why study history” day (usually day 2 of AP World for me) a bit more relevant and engaging. As of posting this, I haven’t tried it yet, but I think this should get some good discussion on what historical reasoning skills (or historical thinking skills) are and how to spot them in the wild. </w:t>
      </w:r>
    </w:p>
    <w:p w:rsidR="0026456F" w:rsidRDefault="0026456F" w:rsidP="0026456F">
      <w:pPr>
        <w:rPr>
          <w:rFonts w:cstheme="minorHAnsi"/>
        </w:rPr>
      </w:pPr>
      <w:r>
        <w:rPr>
          <w:rFonts w:cstheme="minorHAnsi"/>
        </w:rPr>
        <w:t xml:space="preserve">I plan to divide students into eight groups of four to five (my classes are always packed the first week) and have groups rotate to each station where they will get a “DBQ like” primary source which is purposely not historical. Students then have 5 minutes to determine which HRS it applies to and describe why. It’s meant to be easy, </w:t>
      </w:r>
      <w:r w:rsidR="007E5071">
        <w:rPr>
          <w:rFonts w:cstheme="minorHAnsi"/>
        </w:rPr>
        <w:t>but is also meant to ask students to think about they interpret each skill.</w:t>
      </w:r>
    </w:p>
    <w:p w:rsidR="0026456F" w:rsidRDefault="0026456F" w:rsidP="0026456F">
      <w:pPr>
        <w:rPr>
          <w:rFonts w:cstheme="minorHAnsi"/>
        </w:rPr>
      </w:pPr>
      <w:r>
        <w:rPr>
          <w:rFonts w:cstheme="minorHAnsi"/>
        </w:rPr>
        <w:t xml:space="preserve">Each student (or each group, perhaps) will receive the first page and turn it in. Each “DBQ” document will already be at each set of desks. I also made a PowerPoint to go with this on the Drive titled </w:t>
      </w:r>
      <w:r w:rsidR="00116CC4">
        <w:rPr>
          <w:rFonts w:cstheme="minorHAnsi"/>
        </w:rPr>
        <w:t>“</w:t>
      </w:r>
      <w:r w:rsidR="00116CC4" w:rsidRPr="00116CC4">
        <w:rPr>
          <w:rFonts w:cstheme="minorHAnsi"/>
        </w:rPr>
        <w:t>Why Study History Historical Reasoning Activity PPT.pptx</w:t>
      </w:r>
      <w:r w:rsidR="00116CC4">
        <w:rPr>
          <w:rFonts w:cstheme="minorHAnsi"/>
        </w:rPr>
        <w:t xml:space="preserve">” </w:t>
      </w:r>
      <w:r>
        <w:rPr>
          <w:rFonts w:cstheme="minorHAnsi"/>
        </w:rPr>
        <w:t xml:space="preserve">which can be used to guide the discussion. </w:t>
      </w:r>
    </w:p>
    <w:p w:rsidR="00A30AA2" w:rsidRDefault="00A30AA2" w:rsidP="0026456F">
      <w:pPr>
        <w:rPr>
          <w:rFonts w:cstheme="minorHAnsi"/>
        </w:rPr>
      </w:pPr>
      <w:r>
        <w:rPr>
          <w:rFonts w:cstheme="minorHAnsi"/>
        </w:rPr>
        <w:t xml:space="preserve">Handouts: </w:t>
      </w:r>
    </w:p>
    <w:p w:rsidR="00A30AA2" w:rsidRDefault="00A30AA2" w:rsidP="00A30AA2">
      <w:pPr>
        <w:ind w:left="720"/>
        <w:rPr>
          <w:rFonts w:cstheme="minorHAnsi"/>
        </w:rPr>
      </w:pPr>
      <w:r>
        <w:rPr>
          <w:rFonts w:cstheme="minorHAnsi"/>
        </w:rPr>
        <w:t xml:space="preserve">- “Why Study History” worksheet (see next page) </w:t>
      </w:r>
    </w:p>
    <w:p w:rsidR="00A30AA2" w:rsidRDefault="00A30AA2" w:rsidP="00A30AA2">
      <w:pPr>
        <w:ind w:left="720"/>
        <w:rPr>
          <w:rFonts w:cstheme="minorHAnsi"/>
        </w:rPr>
      </w:pPr>
      <w:r>
        <w:rPr>
          <w:rFonts w:cstheme="minorHAnsi"/>
        </w:rPr>
        <w:t xml:space="preserve">- Copy of page 9 of 2017-2018 CED (also on a slide on PPT) </w:t>
      </w:r>
    </w:p>
    <w:p w:rsidR="00353AD2" w:rsidRDefault="00353AD2" w:rsidP="0026456F">
      <w:pPr>
        <w:rPr>
          <w:rFonts w:cstheme="minorHAnsi"/>
        </w:rPr>
      </w:pPr>
    </w:p>
    <w:p w:rsidR="00353AD2" w:rsidRDefault="00353AD2" w:rsidP="0026456F">
      <w:pPr>
        <w:rPr>
          <w:rFonts w:cstheme="minorHAnsi"/>
        </w:rPr>
      </w:pPr>
    </w:p>
    <w:p w:rsidR="00353AD2" w:rsidRDefault="00353AD2" w:rsidP="0026456F">
      <w:pPr>
        <w:rPr>
          <w:rFonts w:cstheme="minorHAnsi"/>
        </w:rPr>
      </w:pPr>
    </w:p>
    <w:p w:rsidR="0026456F" w:rsidRDefault="0026456F" w:rsidP="0026456F">
      <w:pPr>
        <w:rPr>
          <w:rFonts w:cstheme="minorHAnsi"/>
        </w:rPr>
      </w:pPr>
      <w:r>
        <w:rPr>
          <w:rFonts w:cstheme="minorHAnsi"/>
        </w:rPr>
        <w:t>Josh Fahler, Glenda Dawson High School</w:t>
      </w:r>
    </w:p>
    <w:p w:rsidR="0026456F" w:rsidRDefault="00474DE1" w:rsidP="0026456F">
      <w:pPr>
        <w:rPr>
          <w:rFonts w:cstheme="minorHAnsi"/>
        </w:rPr>
      </w:pPr>
      <w:hyperlink r:id="rId6" w:history="1">
        <w:r w:rsidR="0026456F" w:rsidRPr="00DB3817">
          <w:rPr>
            <w:rStyle w:val="Hyperlink"/>
            <w:rFonts w:cstheme="minorHAnsi"/>
          </w:rPr>
          <w:t>fahlerj@pearlandisd.org</w:t>
        </w:r>
      </w:hyperlink>
      <w:r w:rsidR="0026456F">
        <w:rPr>
          <w:rFonts w:cstheme="minorHAnsi"/>
        </w:rPr>
        <w:t xml:space="preserve"> </w:t>
      </w: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cstheme="minorHAnsi"/>
        </w:rPr>
      </w:pPr>
    </w:p>
    <w:p w:rsidR="0026456F" w:rsidRDefault="0026456F" w:rsidP="0026456F">
      <w:pPr>
        <w:rPr>
          <w:rFonts w:ascii="Tw Cen MT Condensed Extra Bold" w:hAnsi="Tw Cen MT Condensed Extra Bold"/>
          <w:sz w:val="40"/>
        </w:rPr>
      </w:pPr>
    </w:p>
    <w:p w:rsidR="00382A45" w:rsidRPr="00382A45" w:rsidRDefault="00382A45" w:rsidP="0026456F">
      <w:pPr>
        <w:pBdr>
          <w:top w:val="single" w:sz="4" w:space="1" w:color="auto"/>
          <w:left w:val="single" w:sz="4" w:space="4" w:color="auto"/>
          <w:bottom w:val="single" w:sz="4" w:space="1" w:color="auto"/>
          <w:right w:val="single" w:sz="4" w:space="4" w:color="auto"/>
        </w:pBdr>
        <w:jc w:val="center"/>
        <w:rPr>
          <w:rFonts w:ascii="Tw Cen MT Condensed Extra Bold" w:hAnsi="Tw Cen MT Condensed Extra Bold"/>
          <w:sz w:val="40"/>
        </w:rPr>
      </w:pPr>
      <w:r w:rsidRPr="00382A45">
        <w:rPr>
          <w:rFonts w:ascii="Tw Cen MT Condensed Extra Bold" w:hAnsi="Tw Cen MT Condensed Extra Bold"/>
          <w:sz w:val="40"/>
        </w:rPr>
        <w:lastRenderedPageBreak/>
        <w:t xml:space="preserve">“Why Study History?” </w:t>
      </w:r>
      <w:r w:rsidR="00A30AA2">
        <w:rPr>
          <w:rFonts w:ascii="Tw Cen MT Condensed Extra Bold" w:hAnsi="Tw Cen MT Condensed Extra Bold"/>
          <w:sz w:val="40"/>
        </w:rPr>
        <w:t>Historical Reasoning</w:t>
      </w:r>
      <w:r w:rsidRPr="00382A45">
        <w:rPr>
          <w:rFonts w:ascii="Tw Cen MT Condensed Extra Bold" w:hAnsi="Tw Cen MT Condensed Extra Bold"/>
          <w:sz w:val="40"/>
        </w:rPr>
        <w:t xml:space="preserve"> Activity</w:t>
      </w:r>
    </w:p>
    <w:p w:rsidR="00382A45" w:rsidRDefault="00382A45" w:rsidP="00382A45">
      <w:r>
        <w:t xml:space="preserve">To help us understand why we study history, we are going to practice some </w:t>
      </w:r>
      <w:r w:rsidRPr="00382A45">
        <w:rPr>
          <w:u w:val="single"/>
        </w:rPr>
        <w:t>AP History Reasoning Skills</w:t>
      </w:r>
      <w:r>
        <w:t xml:space="preserve">. To do this, you will work in a group of 4-5 students to identify which History Reasoning Skill is being practiced at each station. There are 4 skills and 4 stations, so you can go back and re-consider each choice as you move along OR simply use process of elimination if you are feeling confident. You will have 20 minutes to complete this activity. </w:t>
      </w:r>
      <w:r w:rsidR="00351EDD">
        <w:t>Use the back if needed.</w:t>
      </w:r>
    </w:p>
    <w:p w:rsidR="00382A45" w:rsidRPr="00382A45" w:rsidRDefault="00382A45" w:rsidP="00834D2F">
      <w:pPr>
        <w:rPr>
          <w:sz w:val="28"/>
          <w:u w:val="single"/>
        </w:rPr>
      </w:pPr>
      <w:r w:rsidRPr="00382A45">
        <w:rPr>
          <w:sz w:val="28"/>
        </w:rPr>
        <w:t xml:space="preserve">To sum up the above: </w:t>
      </w:r>
      <w:r w:rsidRPr="00382A45">
        <w:rPr>
          <w:sz w:val="28"/>
          <w:u w:val="single"/>
        </w:rPr>
        <w:t>at each station you should ask yourself “</w:t>
      </w:r>
      <w:r w:rsidRPr="00382A45">
        <w:rPr>
          <w:b/>
          <w:sz w:val="28"/>
          <w:u w:val="single"/>
        </w:rPr>
        <w:t xml:space="preserve">which History Reasoning Skill </w:t>
      </w:r>
      <w:r w:rsidRPr="00382A45">
        <w:rPr>
          <w:sz w:val="28"/>
          <w:u w:val="single"/>
        </w:rPr>
        <w:t xml:space="preserve">is best depicted in this source?” Fill out the chart below as you move along. Only one chart needs </w:t>
      </w:r>
      <w:r w:rsidR="00351EDD">
        <w:rPr>
          <w:sz w:val="28"/>
          <w:u w:val="single"/>
        </w:rPr>
        <w:t>to be handed in for each group. No two skills will be the same, so use all four.</w:t>
      </w:r>
    </w:p>
    <w:tbl>
      <w:tblPr>
        <w:tblStyle w:val="TableGrid"/>
        <w:tblW w:w="0" w:type="auto"/>
        <w:tblLook w:val="04A0" w:firstRow="1" w:lastRow="0" w:firstColumn="1" w:lastColumn="0" w:noHBand="0" w:noVBand="1"/>
      </w:tblPr>
      <w:tblGrid>
        <w:gridCol w:w="10790"/>
      </w:tblGrid>
      <w:tr w:rsidR="00382A45" w:rsidTr="00382A45">
        <w:tc>
          <w:tcPr>
            <w:tcW w:w="10790" w:type="dxa"/>
          </w:tcPr>
          <w:p w:rsidR="00382A45" w:rsidRPr="00EF63AA" w:rsidRDefault="00382A45" w:rsidP="00382A45">
            <w:pPr>
              <w:jc w:val="center"/>
              <w:rPr>
                <w:sz w:val="28"/>
                <w:szCs w:val="28"/>
              </w:rPr>
            </w:pPr>
            <w:r w:rsidRPr="00382A45">
              <w:rPr>
                <w:sz w:val="28"/>
                <w:szCs w:val="28"/>
              </w:rPr>
              <w:t xml:space="preserve">Station </w:t>
            </w:r>
            <w:r w:rsidR="00351EDD">
              <w:rPr>
                <w:sz w:val="28"/>
                <w:szCs w:val="28"/>
              </w:rPr>
              <w:t>1</w:t>
            </w:r>
            <w:r w:rsidRPr="00382A45">
              <w:rPr>
                <w:sz w:val="28"/>
                <w:szCs w:val="28"/>
              </w:rPr>
              <w:t xml:space="preserve"> Primary Source:</w:t>
            </w:r>
            <w:r w:rsidR="00EF63AA">
              <w:rPr>
                <w:sz w:val="28"/>
                <w:szCs w:val="28"/>
              </w:rPr>
              <w:t xml:space="preserve"> </w:t>
            </w:r>
            <w:r w:rsidR="00EF63AA">
              <w:rPr>
                <w:i/>
                <w:sz w:val="28"/>
                <w:szCs w:val="28"/>
              </w:rPr>
              <w:t>If You Give a Mouse a Cookie</w:t>
            </w:r>
            <w:r w:rsidR="00EF63AA">
              <w:rPr>
                <w:sz w:val="28"/>
                <w:szCs w:val="28"/>
              </w:rPr>
              <w:t xml:space="preserve"> Excerpt (1985)</w:t>
            </w:r>
          </w:p>
        </w:tc>
      </w:tr>
      <w:tr w:rsidR="00382A45" w:rsidTr="00382A45">
        <w:tc>
          <w:tcPr>
            <w:tcW w:w="10790" w:type="dxa"/>
          </w:tcPr>
          <w:p w:rsidR="00382A45" w:rsidRDefault="00382A45" w:rsidP="00382A45">
            <w:pPr>
              <w:rPr>
                <w:sz w:val="28"/>
                <w:szCs w:val="28"/>
              </w:rPr>
            </w:pPr>
            <w:r>
              <w:rPr>
                <w:sz w:val="28"/>
                <w:szCs w:val="28"/>
              </w:rPr>
              <w:t xml:space="preserve">Skill depicted: </w:t>
            </w:r>
          </w:p>
          <w:p w:rsidR="00382A45" w:rsidRDefault="00382A45" w:rsidP="00382A45">
            <w:pPr>
              <w:rPr>
                <w:sz w:val="28"/>
                <w:szCs w:val="28"/>
              </w:rPr>
            </w:pPr>
          </w:p>
          <w:p w:rsidR="00382A45" w:rsidRDefault="00382A45" w:rsidP="00382A45">
            <w:pPr>
              <w:rPr>
                <w:sz w:val="28"/>
                <w:szCs w:val="28"/>
              </w:rPr>
            </w:pPr>
            <w:r>
              <w:rPr>
                <w:sz w:val="28"/>
                <w:szCs w:val="28"/>
              </w:rPr>
              <w:t>Our reasoning (</w:t>
            </w:r>
            <w:r w:rsidR="00351EDD">
              <w:rPr>
                <w:sz w:val="28"/>
                <w:szCs w:val="28"/>
              </w:rPr>
              <w:t>2-3</w:t>
            </w:r>
            <w:r>
              <w:rPr>
                <w:sz w:val="28"/>
                <w:szCs w:val="28"/>
              </w:rPr>
              <w:t xml:space="preserve"> sentence</w:t>
            </w:r>
            <w:r w:rsidR="00351EDD">
              <w:rPr>
                <w:sz w:val="28"/>
                <w:szCs w:val="28"/>
              </w:rPr>
              <w:t>s</w:t>
            </w:r>
            <w:r>
              <w:rPr>
                <w:sz w:val="28"/>
                <w:szCs w:val="28"/>
              </w:rPr>
              <w:t xml:space="preserve"> – be concise!): </w:t>
            </w:r>
          </w:p>
          <w:p w:rsidR="00382A45" w:rsidRDefault="00382A45" w:rsidP="00382A45">
            <w:pPr>
              <w:jc w:val="center"/>
              <w:rPr>
                <w:sz w:val="28"/>
                <w:szCs w:val="28"/>
              </w:rPr>
            </w:pPr>
          </w:p>
          <w:p w:rsidR="00382A45" w:rsidRDefault="00382A45" w:rsidP="00382A45">
            <w:pPr>
              <w:jc w:val="center"/>
              <w:rPr>
                <w:sz w:val="28"/>
                <w:szCs w:val="28"/>
              </w:rPr>
            </w:pPr>
          </w:p>
          <w:p w:rsidR="00382A45" w:rsidRDefault="00382A45" w:rsidP="00382A45">
            <w:pPr>
              <w:jc w:val="center"/>
              <w:rPr>
                <w:sz w:val="28"/>
                <w:szCs w:val="28"/>
              </w:rPr>
            </w:pPr>
          </w:p>
          <w:p w:rsidR="00382A45" w:rsidRPr="00382A45" w:rsidRDefault="00382A45" w:rsidP="00382A45">
            <w:pPr>
              <w:rPr>
                <w:sz w:val="28"/>
                <w:szCs w:val="28"/>
              </w:rPr>
            </w:pPr>
          </w:p>
        </w:tc>
      </w:tr>
      <w:tr w:rsidR="00382A45" w:rsidTr="00382A45">
        <w:tc>
          <w:tcPr>
            <w:tcW w:w="10790" w:type="dxa"/>
          </w:tcPr>
          <w:p w:rsidR="00382A45" w:rsidRPr="00382A45" w:rsidRDefault="00382A45" w:rsidP="00382A45">
            <w:pPr>
              <w:jc w:val="center"/>
              <w:rPr>
                <w:sz w:val="28"/>
                <w:szCs w:val="28"/>
              </w:rPr>
            </w:pPr>
            <w:r w:rsidRPr="00382A45">
              <w:rPr>
                <w:sz w:val="28"/>
                <w:szCs w:val="28"/>
              </w:rPr>
              <w:t xml:space="preserve">Station </w:t>
            </w:r>
            <w:r w:rsidR="00351EDD">
              <w:rPr>
                <w:sz w:val="28"/>
                <w:szCs w:val="28"/>
              </w:rPr>
              <w:t>2</w:t>
            </w:r>
            <w:r w:rsidR="00C33292">
              <w:rPr>
                <w:sz w:val="28"/>
                <w:szCs w:val="28"/>
              </w:rPr>
              <w:t xml:space="preserve"> </w:t>
            </w:r>
            <w:r w:rsidRPr="00382A45">
              <w:rPr>
                <w:sz w:val="28"/>
                <w:szCs w:val="28"/>
              </w:rPr>
              <w:t>Primary Source:</w:t>
            </w:r>
          </w:p>
        </w:tc>
      </w:tr>
      <w:tr w:rsidR="00382A45" w:rsidTr="00382A45">
        <w:tc>
          <w:tcPr>
            <w:tcW w:w="10790" w:type="dxa"/>
          </w:tcPr>
          <w:p w:rsidR="00382A45" w:rsidRDefault="00382A45" w:rsidP="00382A45">
            <w:pPr>
              <w:rPr>
                <w:sz w:val="28"/>
                <w:szCs w:val="28"/>
              </w:rPr>
            </w:pPr>
            <w:r>
              <w:rPr>
                <w:sz w:val="28"/>
                <w:szCs w:val="28"/>
              </w:rPr>
              <w:t xml:space="preserve">Skill depicted: </w:t>
            </w:r>
          </w:p>
          <w:p w:rsidR="00382A45" w:rsidRDefault="00382A45" w:rsidP="00382A45">
            <w:pPr>
              <w:rPr>
                <w:sz w:val="28"/>
                <w:szCs w:val="28"/>
              </w:rPr>
            </w:pPr>
          </w:p>
          <w:p w:rsidR="00382A45" w:rsidRDefault="00382A45" w:rsidP="00382A45">
            <w:pPr>
              <w:rPr>
                <w:sz w:val="28"/>
                <w:szCs w:val="28"/>
              </w:rPr>
            </w:pPr>
            <w:r>
              <w:rPr>
                <w:sz w:val="28"/>
                <w:szCs w:val="28"/>
              </w:rPr>
              <w:t>Our reasoning (</w:t>
            </w:r>
            <w:r w:rsidR="00351EDD">
              <w:rPr>
                <w:sz w:val="28"/>
                <w:szCs w:val="28"/>
              </w:rPr>
              <w:t>2-3</w:t>
            </w:r>
            <w:r>
              <w:rPr>
                <w:sz w:val="28"/>
                <w:szCs w:val="28"/>
              </w:rPr>
              <w:t xml:space="preserve"> sentence</w:t>
            </w:r>
            <w:r w:rsidR="00351EDD">
              <w:rPr>
                <w:sz w:val="28"/>
                <w:szCs w:val="28"/>
              </w:rPr>
              <w:t>s</w:t>
            </w:r>
            <w:r>
              <w:rPr>
                <w:sz w:val="28"/>
                <w:szCs w:val="28"/>
              </w:rPr>
              <w:t xml:space="preserve"> – be concise!): </w:t>
            </w:r>
          </w:p>
          <w:p w:rsidR="00382A45" w:rsidRDefault="00382A45" w:rsidP="00382A45">
            <w:pPr>
              <w:jc w:val="center"/>
              <w:rPr>
                <w:sz w:val="28"/>
                <w:szCs w:val="28"/>
              </w:rPr>
            </w:pPr>
          </w:p>
          <w:p w:rsidR="00382A45" w:rsidRDefault="00382A45" w:rsidP="00382A45">
            <w:pPr>
              <w:jc w:val="center"/>
              <w:rPr>
                <w:sz w:val="28"/>
                <w:szCs w:val="28"/>
              </w:rPr>
            </w:pPr>
          </w:p>
          <w:p w:rsidR="00382A45" w:rsidRDefault="00382A45" w:rsidP="00382A45">
            <w:pPr>
              <w:jc w:val="center"/>
              <w:rPr>
                <w:sz w:val="28"/>
                <w:szCs w:val="28"/>
              </w:rPr>
            </w:pPr>
          </w:p>
          <w:p w:rsidR="00382A45" w:rsidRPr="00382A45" w:rsidRDefault="00382A45" w:rsidP="00382A45">
            <w:pPr>
              <w:rPr>
                <w:sz w:val="28"/>
                <w:szCs w:val="28"/>
              </w:rPr>
            </w:pPr>
          </w:p>
        </w:tc>
      </w:tr>
      <w:tr w:rsidR="00382A45" w:rsidTr="00382A45">
        <w:tc>
          <w:tcPr>
            <w:tcW w:w="10790" w:type="dxa"/>
          </w:tcPr>
          <w:p w:rsidR="00382A45" w:rsidRPr="00382A45" w:rsidRDefault="00382A45" w:rsidP="00382A45">
            <w:pPr>
              <w:jc w:val="center"/>
              <w:rPr>
                <w:sz w:val="28"/>
                <w:szCs w:val="28"/>
              </w:rPr>
            </w:pPr>
            <w:r w:rsidRPr="00382A45">
              <w:rPr>
                <w:sz w:val="28"/>
                <w:szCs w:val="28"/>
              </w:rPr>
              <w:t xml:space="preserve">Station </w:t>
            </w:r>
            <w:r w:rsidR="00351EDD">
              <w:rPr>
                <w:sz w:val="28"/>
                <w:szCs w:val="28"/>
              </w:rPr>
              <w:t>3</w:t>
            </w:r>
            <w:r w:rsidRPr="00382A45">
              <w:rPr>
                <w:sz w:val="28"/>
                <w:szCs w:val="28"/>
              </w:rPr>
              <w:t xml:space="preserve"> Primary Source: </w:t>
            </w:r>
            <w:r w:rsidRPr="00382A45">
              <w:rPr>
                <w:i/>
                <w:sz w:val="28"/>
                <w:szCs w:val="28"/>
              </w:rPr>
              <w:t>Star Wars</w:t>
            </w:r>
            <w:r w:rsidRPr="00382A45">
              <w:rPr>
                <w:sz w:val="28"/>
                <w:szCs w:val="28"/>
              </w:rPr>
              <w:t xml:space="preserve"> Opening Crawl (1977)</w:t>
            </w:r>
          </w:p>
        </w:tc>
      </w:tr>
      <w:tr w:rsidR="00382A45" w:rsidTr="00382A45">
        <w:tc>
          <w:tcPr>
            <w:tcW w:w="10790" w:type="dxa"/>
          </w:tcPr>
          <w:p w:rsidR="00382A45" w:rsidRDefault="00382A45" w:rsidP="00382A45">
            <w:pPr>
              <w:rPr>
                <w:sz w:val="28"/>
                <w:szCs w:val="28"/>
              </w:rPr>
            </w:pPr>
            <w:r>
              <w:rPr>
                <w:sz w:val="28"/>
                <w:szCs w:val="28"/>
              </w:rPr>
              <w:t xml:space="preserve">Skill depicted: </w:t>
            </w:r>
          </w:p>
          <w:p w:rsidR="00382A45" w:rsidRDefault="00382A45" w:rsidP="00382A45">
            <w:pPr>
              <w:rPr>
                <w:sz w:val="28"/>
                <w:szCs w:val="28"/>
              </w:rPr>
            </w:pPr>
          </w:p>
          <w:p w:rsidR="00382A45" w:rsidRDefault="00382A45" w:rsidP="00382A45">
            <w:pPr>
              <w:rPr>
                <w:sz w:val="28"/>
                <w:szCs w:val="28"/>
              </w:rPr>
            </w:pPr>
            <w:r>
              <w:rPr>
                <w:sz w:val="28"/>
                <w:szCs w:val="28"/>
              </w:rPr>
              <w:t>Our reasoning (</w:t>
            </w:r>
            <w:r w:rsidR="00351EDD">
              <w:rPr>
                <w:sz w:val="28"/>
                <w:szCs w:val="28"/>
              </w:rPr>
              <w:t>2-3</w:t>
            </w:r>
            <w:r>
              <w:rPr>
                <w:sz w:val="28"/>
                <w:szCs w:val="28"/>
              </w:rPr>
              <w:t xml:space="preserve"> sentence</w:t>
            </w:r>
            <w:r w:rsidR="00351EDD">
              <w:rPr>
                <w:sz w:val="28"/>
                <w:szCs w:val="28"/>
              </w:rPr>
              <w:t>s</w:t>
            </w:r>
            <w:r>
              <w:rPr>
                <w:sz w:val="28"/>
                <w:szCs w:val="28"/>
              </w:rPr>
              <w:t xml:space="preserve"> – be concise!): </w:t>
            </w:r>
          </w:p>
          <w:p w:rsidR="00382A45" w:rsidRDefault="00382A45" w:rsidP="00382A45">
            <w:pPr>
              <w:jc w:val="center"/>
              <w:rPr>
                <w:sz w:val="28"/>
                <w:szCs w:val="28"/>
              </w:rPr>
            </w:pPr>
          </w:p>
          <w:p w:rsidR="00382A45" w:rsidRDefault="00382A45" w:rsidP="00382A45">
            <w:pPr>
              <w:jc w:val="center"/>
              <w:rPr>
                <w:sz w:val="28"/>
                <w:szCs w:val="28"/>
              </w:rPr>
            </w:pPr>
          </w:p>
          <w:p w:rsidR="00382A45" w:rsidRDefault="00382A45" w:rsidP="00382A45">
            <w:pPr>
              <w:jc w:val="center"/>
              <w:rPr>
                <w:sz w:val="28"/>
                <w:szCs w:val="28"/>
              </w:rPr>
            </w:pPr>
          </w:p>
          <w:p w:rsidR="00382A45" w:rsidRPr="00382A45" w:rsidRDefault="00382A45" w:rsidP="00382A45">
            <w:pPr>
              <w:rPr>
                <w:sz w:val="28"/>
                <w:szCs w:val="28"/>
              </w:rPr>
            </w:pPr>
          </w:p>
        </w:tc>
      </w:tr>
      <w:tr w:rsidR="00382A45" w:rsidTr="00382A45">
        <w:tc>
          <w:tcPr>
            <w:tcW w:w="10790" w:type="dxa"/>
          </w:tcPr>
          <w:p w:rsidR="00382A45" w:rsidRPr="00382A45" w:rsidRDefault="00382A45" w:rsidP="00382A45">
            <w:pPr>
              <w:jc w:val="center"/>
              <w:rPr>
                <w:sz w:val="28"/>
                <w:szCs w:val="28"/>
              </w:rPr>
            </w:pPr>
            <w:r w:rsidRPr="00382A45">
              <w:rPr>
                <w:sz w:val="28"/>
                <w:szCs w:val="28"/>
              </w:rPr>
              <w:t xml:space="preserve">Station </w:t>
            </w:r>
            <w:r w:rsidR="00351EDD">
              <w:rPr>
                <w:sz w:val="28"/>
                <w:szCs w:val="28"/>
              </w:rPr>
              <w:t>4</w:t>
            </w:r>
            <w:r w:rsidRPr="00382A45">
              <w:rPr>
                <w:sz w:val="28"/>
                <w:szCs w:val="28"/>
              </w:rPr>
              <w:t xml:space="preserve"> Primary Source:</w:t>
            </w:r>
          </w:p>
        </w:tc>
      </w:tr>
      <w:tr w:rsidR="00382A45" w:rsidTr="00382A45">
        <w:tc>
          <w:tcPr>
            <w:tcW w:w="10790" w:type="dxa"/>
          </w:tcPr>
          <w:p w:rsidR="00382A45" w:rsidRDefault="00382A45" w:rsidP="00382A45">
            <w:pPr>
              <w:rPr>
                <w:sz w:val="28"/>
                <w:szCs w:val="28"/>
              </w:rPr>
            </w:pPr>
            <w:r>
              <w:rPr>
                <w:sz w:val="28"/>
                <w:szCs w:val="28"/>
              </w:rPr>
              <w:t xml:space="preserve">Skill depicted: </w:t>
            </w:r>
          </w:p>
          <w:p w:rsidR="00382A45" w:rsidRDefault="00382A45" w:rsidP="00382A45">
            <w:pPr>
              <w:rPr>
                <w:sz w:val="28"/>
                <w:szCs w:val="28"/>
              </w:rPr>
            </w:pPr>
          </w:p>
          <w:p w:rsidR="00382A45" w:rsidRDefault="00382A45" w:rsidP="00382A45">
            <w:pPr>
              <w:rPr>
                <w:sz w:val="28"/>
                <w:szCs w:val="28"/>
              </w:rPr>
            </w:pPr>
            <w:r>
              <w:rPr>
                <w:sz w:val="28"/>
                <w:szCs w:val="28"/>
              </w:rPr>
              <w:t>Our reasoning (</w:t>
            </w:r>
            <w:r w:rsidR="00351EDD">
              <w:rPr>
                <w:sz w:val="28"/>
                <w:szCs w:val="28"/>
              </w:rPr>
              <w:t>2-3</w:t>
            </w:r>
            <w:r>
              <w:rPr>
                <w:sz w:val="28"/>
                <w:szCs w:val="28"/>
              </w:rPr>
              <w:t xml:space="preserve"> sentence</w:t>
            </w:r>
            <w:r w:rsidR="00351EDD">
              <w:rPr>
                <w:sz w:val="28"/>
                <w:szCs w:val="28"/>
              </w:rPr>
              <w:t>s</w:t>
            </w:r>
            <w:r>
              <w:rPr>
                <w:sz w:val="28"/>
                <w:szCs w:val="28"/>
              </w:rPr>
              <w:t xml:space="preserve"> – be concise!): </w:t>
            </w:r>
          </w:p>
          <w:p w:rsidR="00382A45" w:rsidRDefault="00382A45" w:rsidP="00382A45">
            <w:pPr>
              <w:jc w:val="center"/>
              <w:rPr>
                <w:sz w:val="28"/>
                <w:szCs w:val="28"/>
              </w:rPr>
            </w:pPr>
          </w:p>
          <w:p w:rsidR="00382A45" w:rsidRDefault="00382A45" w:rsidP="00382A45">
            <w:pPr>
              <w:rPr>
                <w:sz w:val="28"/>
                <w:szCs w:val="28"/>
              </w:rPr>
            </w:pPr>
          </w:p>
          <w:p w:rsidR="00382A45" w:rsidRDefault="00382A45" w:rsidP="00382A45">
            <w:pPr>
              <w:rPr>
                <w:sz w:val="28"/>
                <w:szCs w:val="28"/>
              </w:rPr>
            </w:pPr>
          </w:p>
          <w:p w:rsidR="00382A45" w:rsidRPr="00382A45" w:rsidRDefault="00382A45" w:rsidP="00382A45">
            <w:pPr>
              <w:rPr>
                <w:sz w:val="28"/>
                <w:szCs w:val="28"/>
              </w:rPr>
            </w:pPr>
          </w:p>
        </w:tc>
      </w:tr>
    </w:tbl>
    <w:p w:rsidR="00351EDD" w:rsidRDefault="00351EDD" w:rsidP="00274FD3">
      <w:pPr>
        <w:jc w:val="center"/>
        <w:rPr>
          <w:rFonts w:ascii="Times New Roman" w:hAnsi="Times New Roman" w:cs="Times New Roman"/>
          <w:b/>
          <w:sz w:val="24"/>
        </w:rPr>
      </w:pPr>
    </w:p>
    <w:p w:rsidR="00274FD3" w:rsidRDefault="00274FD3" w:rsidP="00274FD3">
      <w:pPr>
        <w:jc w:val="center"/>
        <w:rPr>
          <w:rFonts w:ascii="Times New Roman" w:hAnsi="Times New Roman" w:cs="Times New Roman"/>
          <w:b/>
          <w:sz w:val="24"/>
        </w:rPr>
      </w:pPr>
      <w:r>
        <w:rPr>
          <w:rFonts w:ascii="Times New Roman" w:hAnsi="Times New Roman" w:cs="Times New Roman"/>
          <w:b/>
          <w:sz w:val="24"/>
        </w:rPr>
        <w:t>Document 1</w:t>
      </w:r>
    </w:p>
    <w:p w:rsidR="00351EDD" w:rsidRDefault="00351EDD" w:rsidP="00274FD3">
      <w:pPr>
        <w:jc w:val="center"/>
        <w:rPr>
          <w:rFonts w:ascii="Times New Roman" w:hAnsi="Times New Roman" w:cs="Times New Roman"/>
          <w:b/>
          <w:sz w:val="24"/>
        </w:rPr>
      </w:pPr>
    </w:p>
    <w:tbl>
      <w:tblPr>
        <w:tblStyle w:val="TableGrid"/>
        <w:tblW w:w="0" w:type="auto"/>
        <w:tblLook w:val="04A0" w:firstRow="1" w:lastRow="0" w:firstColumn="1" w:lastColumn="0" w:noHBand="0" w:noVBand="1"/>
      </w:tblPr>
      <w:tblGrid>
        <w:gridCol w:w="10790"/>
      </w:tblGrid>
      <w:tr w:rsidR="00EF63AA" w:rsidTr="00EF63AA">
        <w:tc>
          <w:tcPr>
            <w:tcW w:w="10790" w:type="dxa"/>
          </w:tcPr>
          <w:p w:rsidR="00EF63AA" w:rsidRDefault="00EF63AA" w:rsidP="00EF63AA">
            <w:pPr>
              <w:rPr>
                <w:rFonts w:ascii="Times New Roman" w:hAnsi="Times New Roman" w:cs="Times New Roman"/>
                <w:b/>
                <w:sz w:val="24"/>
              </w:rPr>
            </w:pPr>
          </w:p>
          <w:p w:rsidR="00EF63AA" w:rsidRPr="00EF63AA" w:rsidRDefault="00EF63AA" w:rsidP="00EF63AA">
            <w:pPr>
              <w:rPr>
                <w:rFonts w:ascii="Times New Roman" w:hAnsi="Times New Roman" w:cs="Times New Roman"/>
                <w:sz w:val="24"/>
                <w:szCs w:val="24"/>
              </w:rPr>
            </w:pPr>
            <w:r>
              <w:rPr>
                <w:rFonts w:ascii="Times New Roman" w:hAnsi="Times New Roman" w:cs="Times New Roman"/>
                <w:sz w:val="24"/>
              </w:rPr>
              <w:t xml:space="preserve">Source: </w:t>
            </w:r>
            <w:r w:rsidRPr="00EF63AA">
              <w:rPr>
                <w:rFonts w:ascii="Times New Roman" w:hAnsi="Times New Roman" w:cs="Times New Roman"/>
                <w:sz w:val="24"/>
                <w:szCs w:val="24"/>
              </w:rPr>
              <w:t xml:space="preserve">Excerpt from </w:t>
            </w:r>
            <w:r w:rsidRPr="00EF63AA">
              <w:rPr>
                <w:rFonts w:ascii="Times New Roman" w:hAnsi="Times New Roman" w:cs="Times New Roman"/>
                <w:i/>
                <w:sz w:val="24"/>
                <w:szCs w:val="24"/>
              </w:rPr>
              <w:t>If You Give a Mouse a Cookie</w:t>
            </w:r>
            <w:r w:rsidRPr="00EF63AA">
              <w:rPr>
                <w:rFonts w:ascii="Times New Roman" w:hAnsi="Times New Roman" w:cs="Times New Roman"/>
                <w:sz w:val="24"/>
                <w:szCs w:val="24"/>
              </w:rPr>
              <w:t xml:space="preserve">, a popular children’s book written by Laura Numeroff, 1985. </w:t>
            </w:r>
          </w:p>
          <w:p w:rsidR="00EF63AA" w:rsidRPr="00EF63AA" w:rsidRDefault="00EF63AA" w:rsidP="00EF63AA">
            <w:pPr>
              <w:rPr>
                <w:rFonts w:ascii="Times New Roman" w:hAnsi="Times New Roman" w:cs="Times New Roman"/>
                <w:sz w:val="24"/>
                <w:szCs w:val="24"/>
              </w:rPr>
            </w:pPr>
          </w:p>
          <w:p w:rsidR="00EF63AA" w:rsidRPr="00EF63AA" w:rsidRDefault="00EF63AA" w:rsidP="00EF63AA">
            <w:pPr>
              <w:spacing w:after="86"/>
              <w:rPr>
                <w:rFonts w:ascii="Times New Roman" w:eastAsia="Times New Roman" w:hAnsi="Times New Roman" w:cs="Times New Roman"/>
                <w:color w:val="222222"/>
                <w:sz w:val="24"/>
                <w:szCs w:val="24"/>
                <w:lang w:val="en"/>
              </w:rPr>
            </w:pPr>
            <w:r w:rsidRPr="00EF63AA">
              <w:rPr>
                <w:rFonts w:ascii="Times New Roman" w:eastAsia="Times New Roman" w:hAnsi="Times New Roman" w:cs="Times New Roman"/>
                <w:color w:val="222222"/>
                <w:sz w:val="24"/>
                <w:szCs w:val="24"/>
                <w:lang w:val="en"/>
              </w:rPr>
              <w:t>If you give a mouse a cookie, he's going to ask for a glass of milk.</w:t>
            </w:r>
          </w:p>
          <w:p w:rsidR="00EF63AA" w:rsidRDefault="00EF63AA" w:rsidP="00EF63AA">
            <w:pPr>
              <w:spacing w:before="86" w:after="86"/>
              <w:rPr>
                <w:rFonts w:ascii="Times New Roman" w:eastAsia="Times New Roman" w:hAnsi="Times New Roman" w:cs="Times New Roman"/>
                <w:color w:val="222222"/>
                <w:sz w:val="24"/>
                <w:szCs w:val="24"/>
                <w:lang w:val="en"/>
              </w:rPr>
            </w:pPr>
          </w:p>
          <w:p w:rsidR="00EF63AA" w:rsidRPr="00EF63AA" w:rsidRDefault="00EF63AA" w:rsidP="00EF63AA">
            <w:pPr>
              <w:spacing w:before="86" w:after="86"/>
              <w:rPr>
                <w:rFonts w:ascii="Times New Roman" w:eastAsia="Times New Roman" w:hAnsi="Times New Roman" w:cs="Times New Roman"/>
                <w:color w:val="222222"/>
                <w:sz w:val="24"/>
                <w:szCs w:val="24"/>
                <w:lang w:val="en"/>
              </w:rPr>
            </w:pPr>
            <w:r w:rsidRPr="00EF63AA">
              <w:rPr>
                <w:rFonts w:ascii="Times New Roman" w:eastAsia="Times New Roman" w:hAnsi="Times New Roman" w:cs="Times New Roman"/>
                <w:color w:val="222222"/>
                <w:sz w:val="24"/>
                <w:szCs w:val="24"/>
                <w:lang w:val="en"/>
              </w:rPr>
              <w:t>When you give him the milk, he'll probably ask you for a straw. When he's finished, he'll ask you for a napkin.</w:t>
            </w:r>
          </w:p>
          <w:p w:rsidR="00EF63AA" w:rsidRDefault="00EF63AA" w:rsidP="00EF63AA">
            <w:pPr>
              <w:spacing w:before="86" w:after="86"/>
              <w:rPr>
                <w:rFonts w:ascii="Times New Roman" w:eastAsia="Times New Roman" w:hAnsi="Times New Roman" w:cs="Times New Roman"/>
                <w:color w:val="222222"/>
                <w:sz w:val="24"/>
                <w:szCs w:val="24"/>
                <w:lang w:val="en"/>
              </w:rPr>
            </w:pPr>
          </w:p>
          <w:p w:rsidR="00EF63AA" w:rsidRDefault="00EF63AA" w:rsidP="00EF63AA">
            <w:pPr>
              <w:spacing w:before="86" w:after="86"/>
              <w:rPr>
                <w:rFonts w:ascii="Times New Roman" w:eastAsia="Times New Roman" w:hAnsi="Times New Roman" w:cs="Times New Roman"/>
                <w:color w:val="222222"/>
                <w:sz w:val="24"/>
                <w:szCs w:val="24"/>
                <w:lang w:val="en"/>
              </w:rPr>
            </w:pPr>
            <w:r w:rsidRPr="00EF63AA">
              <w:rPr>
                <w:rFonts w:ascii="Times New Roman" w:eastAsia="Times New Roman" w:hAnsi="Times New Roman" w:cs="Times New Roman"/>
                <w:color w:val="222222"/>
                <w:sz w:val="24"/>
                <w:szCs w:val="24"/>
                <w:lang w:val="en"/>
              </w:rPr>
              <w:t>Then he'll want to look in a mirror to make sure he doesn't have a milk mustache. When he looks in the mirror, he might notice his hair needs a trim. So he'll probably ask for a pair of nail scissors.</w:t>
            </w:r>
          </w:p>
          <w:p w:rsidR="00EF63AA" w:rsidRPr="00EF63AA" w:rsidRDefault="00EF63AA" w:rsidP="00EF63AA">
            <w:pPr>
              <w:rPr>
                <w:rFonts w:ascii="Times New Roman" w:hAnsi="Times New Roman" w:cs="Times New Roman"/>
                <w:sz w:val="24"/>
                <w:lang w:val="en"/>
              </w:rPr>
            </w:pPr>
          </w:p>
        </w:tc>
      </w:tr>
    </w:tbl>
    <w:p w:rsidR="00274FD3" w:rsidRDefault="00274FD3"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351EDD" w:rsidRDefault="00351EDD" w:rsidP="00274FD3">
      <w:pPr>
        <w:jc w:val="center"/>
        <w:rPr>
          <w:rFonts w:ascii="Times New Roman" w:hAnsi="Times New Roman" w:cs="Times New Roman"/>
          <w:b/>
          <w:sz w:val="24"/>
        </w:rPr>
      </w:pPr>
    </w:p>
    <w:p w:rsidR="00274FD3" w:rsidRDefault="00351EDD" w:rsidP="00274FD3">
      <w:pPr>
        <w:jc w:val="center"/>
        <w:rPr>
          <w:rFonts w:ascii="Times New Roman" w:hAnsi="Times New Roman" w:cs="Times New Roman"/>
          <w:sz w:val="24"/>
        </w:rPr>
      </w:pPr>
      <w:r>
        <w:rPr>
          <w:rFonts w:ascii="Times New Roman" w:hAnsi="Times New Roman" w:cs="Times New Roman"/>
          <w:b/>
          <w:sz w:val="24"/>
        </w:rPr>
        <w:t>Document 2</w:t>
      </w:r>
    </w:p>
    <w:p w:rsidR="00351EDD" w:rsidRDefault="00351EDD" w:rsidP="00274FD3">
      <w:pPr>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351EDD" w:rsidTr="00351EDD">
        <w:tc>
          <w:tcPr>
            <w:tcW w:w="10790" w:type="dxa"/>
          </w:tcPr>
          <w:p w:rsidR="00351EDD" w:rsidRDefault="00351EDD" w:rsidP="00351EDD">
            <w:pPr>
              <w:rPr>
                <w:rFonts w:ascii="Times New Roman" w:hAnsi="Times New Roman" w:cs="Times New Roman"/>
                <w:sz w:val="24"/>
              </w:rPr>
            </w:pPr>
          </w:p>
          <w:p w:rsidR="00351EDD" w:rsidRPr="005D1D33" w:rsidRDefault="00351EDD" w:rsidP="00351EDD">
            <w:pPr>
              <w:rPr>
                <w:rFonts w:ascii="Times New Roman" w:hAnsi="Times New Roman" w:cs="Times New Roman"/>
                <w:sz w:val="24"/>
              </w:rPr>
            </w:pPr>
            <w:r>
              <w:rPr>
                <w:rFonts w:ascii="Times New Roman" w:hAnsi="Times New Roman" w:cs="Times New Roman"/>
                <w:sz w:val="24"/>
              </w:rPr>
              <w:t xml:space="preserve">Source: </w:t>
            </w:r>
            <w:r w:rsidR="005D1D33">
              <w:rPr>
                <w:rFonts w:ascii="Times New Roman" w:hAnsi="Times New Roman" w:cs="Times New Roman"/>
                <w:sz w:val="24"/>
              </w:rPr>
              <w:t xml:space="preserve">Graph from </w:t>
            </w:r>
            <w:r w:rsidR="005D1D33">
              <w:rPr>
                <w:rFonts w:ascii="Times New Roman" w:hAnsi="Times New Roman" w:cs="Times New Roman"/>
                <w:i/>
                <w:sz w:val="24"/>
              </w:rPr>
              <w:t>Runners World</w:t>
            </w:r>
            <w:r w:rsidR="005D1D33">
              <w:rPr>
                <w:rFonts w:ascii="Times New Roman" w:hAnsi="Times New Roman" w:cs="Times New Roman"/>
                <w:sz w:val="24"/>
              </w:rPr>
              <w:t xml:space="preserve"> magazine, 2014. The visual source depicts how the authors viewed each show as put on a spectrum between cushioning versus amount of material used. </w:t>
            </w:r>
          </w:p>
          <w:p w:rsidR="00351EDD" w:rsidRDefault="00351EDD" w:rsidP="00351EDD">
            <w:pPr>
              <w:rPr>
                <w:rFonts w:ascii="Times New Roman" w:hAnsi="Times New Roman" w:cs="Times New Roman"/>
                <w:sz w:val="24"/>
              </w:rPr>
            </w:pPr>
          </w:p>
          <w:p w:rsidR="00351EDD" w:rsidRDefault="00351EDD" w:rsidP="00351EDD">
            <w:pPr>
              <w:jc w:val="center"/>
              <w:rPr>
                <w:rFonts w:ascii="Times New Roman" w:hAnsi="Times New Roman" w:cs="Times New Roman"/>
                <w:sz w:val="24"/>
              </w:rPr>
            </w:pPr>
            <w:r>
              <w:rPr>
                <w:noProof/>
                <w:lang w:eastAsia="en-US"/>
              </w:rPr>
              <w:drawing>
                <wp:inline distT="0" distB="0" distL="0" distR="0">
                  <wp:extent cx="6425700" cy="6905625"/>
                  <wp:effectExtent l="0" t="0" r="0" b="0"/>
                  <wp:docPr id="1" name="Picture 1" descr="https://www.runnersworld.com/sites/runnersworld.com/files/fall2014shoe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nnersworld.com/sites/runnersworld.com/files/fall2014shoegr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2780" cy="6956221"/>
                          </a:xfrm>
                          <a:prstGeom prst="rect">
                            <a:avLst/>
                          </a:prstGeom>
                          <a:noFill/>
                          <a:ln>
                            <a:noFill/>
                          </a:ln>
                        </pic:spPr>
                      </pic:pic>
                    </a:graphicData>
                  </a:graphic>
                </wp:inline>
              </w:drawing>
            </w:r>
          </w:p>
          <w:p w:rsidR="00351EDD" w:rsidRDefault="00351EDD" w:rsidP="00351EDD">
            <w:pPr>
              <w:jc w:val="center"/>
              <w:rPr>
                <w:rFonts w:ascii="Times New Roman" w:hAnsi="Times New Roman" w:cs="Times New Roman"/>
                <w:sz w:val="24"/>
              </w:rPr>
            </w:pPr>
          </w:p>
          <w:p w:rsidR="00351EDD" w:rsidRPr="005D1D33" w:rsidRDefault="005D1D33" w:rsidP="005D1D33">
            <w:pPr>
              <w:rPr>
                <w:rFonts w:ascii="Times New Roman" w:hAnsi="Times New Roman" w:cs="Times New Roman"/>
                <w:sz w:val="20"/>
              </w:rPr>
            </w:pPr>
            <w:r w:rsidRPr="005D1D33">
              <w:rPr>
                <w:rFonts w:ascii="Times New Roman" w:hAnsi="Times New Roman" w:cs="Times New Roman"/>
                <w:sz w:val="20"/>
              </w:rPr>
              <w:t xml:space="preserve">Image from “Fall 2014 Shoe Guide: Stability in a Variety of Packages,” running shoe review guide printed in </w:t>
            </w:r>
            <w:r w:rsidRPr="005D1D33">
              <w:rPr>
                <w:rFonts w:ascii="Times New Roman" w:hAnsi="Times New Roman" w:cs="Times New Roman"/>
                <w:i/>
                <w:sz w:val="20"/>
              </w:rPr>
              <w:t>Runner’s World</w:t>
            </w:r>
            <w:r w:rsidRPr="005D1D33">
              <w:rPr>
                <w:rFonts w:ascii="Times New Roman" w:hAnsi="Times New Roman" w:cs="Times New Roman"/>
                <w:sz w:val="20"/>
              </w:rPr>
              <w:t xml:space="preserve"> magazine, by Adam W. Chase, 2014.</w:t>
            </w:r>
          </w:p>
          <w:p w:rsidR="00351EDD" w:rsidRPr="00351EDD" w:rsidRDefault="00351EDD" w:rsidP="00351EDD">
            <w:pPr>
              <w:jc w:val="center"/>
              <w:rPr>
                <w:rFonts w:ascii="Times New Roman" w:hAnsi="Times New Roman" w:cs="Times New Roman"/>
                <w:sz w:val="24"/>
              </w:rPr>
            </w:pPr>
          </w:p>
        </w:tc>
      </w:tr>
    </w:tbl>
    <w:p w:rsidR="00274FD3" w:rsidRDefault="00274FD3" w:rsidP="005D1D33">
      <w:pPr>
        <w:rPr>
          <w:rFonts w:ascii="Times New Roman" w:hAnsi="Times New Roman" w:cs="Times New Roman"/>
          <w:b/>
          <w:sz w:val="24"/>
        </w:rPr>
      </w:pPr>
    </w:p>
    <w:p w:rsidR="00382A45" w:rsidRDefault="00274FD3" w:rsidP="00274FD3">
      <w:pPr>
        <w:jc w:val="center"/>
        <w:rPr>
          <w:rFonts w:ascii="Times New Roman" w:hAnsi="Times New Roman" w:cs="Times New Roman"/>
          <w:b/>
          <w:sz w:val="24"/>
        </w:rPr>
      </w:pPr>
      <w:r w:rsidRPr="00274FD3">
        <w:rPr>
          <w:rFonts w:ascii="Times New Roman" w:hAnsi="Times New Roman" w:cs="Times New Roman"/>
          <w:b/>
          <w:sz w:val="24"/>
        </w:rPr>
        <w:t>Document 3</w:t>
      </w:r>
    </w:p>
    <w:p w:rsidR="00274FD3" w:rsidRDefault="00274FD3" w:rsidP="00274FD3">
      <w:pPr>
        <w:rPr>
          <w:rFonts w:ascii="Times New Roman" w:hAnsi="Times New Roman" w:cs="Times New Roman"/>
          <w:sz w:val="24"/>
        </w:rPr>
      </w:pPr>
    </w:p>
    <w:tbl>
      <w:tblPr>
        <w:tblStyle w:val="TableGrid"/>
        <w:tblW w:w="10800" w:type="dxa"/>
        <w:tblInd w:w="-5" w:type="dxa"/>
        <w:tblLook w:val="04A0" w:firstRow="1" w:lastRow="0" w:firstColumn="1" w:lastColumn="0" w:noHBand="0" w:noVBand="1"/>
      </w:tblPr>
      <w:tblGrid>
        <w:gridCol w:w="10800"/>
      </w:tblGrid>
      <w:tr w:rsidR="00274FD3" w:rsidTr="00274FD3">
        <w:tc>
          <w:tcPr>
            <w:tcW w:w="10800" w:type="dxa"/>
          </w:tcPr>
          <w:p w:rsidR="00274FD3" w:rsidRDefault="00274FD3" w:rsidP="00274FD3">
            <w:pPr>
              <w:rPr>
                <w:rFonts w:ascii="Times New Roman" w:hAnsi="Times New Roman" w:cs="Times New Roman"/>
                <w:sz w:val="24"/>
              </w:rPr>
            </w:pPr>
          </w:p>
          <w:p w:rsidR="00274FD3" w:rsidRDefault="00274FD3" w:rsidP="00274FD3">
            <w:pPr>
              <w:rPr>
                <w:rFonts w:ascii="Times New Roman" w:hAnsi="Times New Roman" w:cs="Times New Roman"/>
                <w:sz w:val="24"/>
              </w:rPr>
            </w:pPr>
            <w:r>
              <w:rPr>
                <w:rFonts w:ascii="Times New Roman" w:hAnsi="Times New Roman" w:cs="Times New Roman"/>
                <w:sz w:val="24"/>
              </w:rPr>
              <w:t xml:space="preserve">Source: “Opening crawl” sequence from the introduction of </w:t>
            </w:r>
            <w:r>
              <w:rPr>
                <w:rFonts w:ascii="Times New Roman" w:hAnsi="Times New Roman" w:cs="Times New Roman"/>
                <w:i/>
                <w:sz w:val="24"/>
              </w:rPr>
              <w:t>Star Wars</w:t>
            </w:r>
            <w:r>
              <w:rPr>
                <w:rFonts w:ascii="Times New Roman" w:hAnsi="Times New Roman" w:cs="Times New Roman"/>
                <w:sz w:val="24"/>
              </w:rPr>
              <w:t>, one of the most groundbreaking science-fiction films, 1977.</w:t>
            </w:r>
            <w:r w:rsidR="00A30AA2">
              <w:rPr>
                <w:rFonts w:ascii="Times New Roman" w:hAnsi="Times New Roman" w:cs="Times New Roman"/>
                <w:sz w:val="24"/>
              </w:rPr>
              <w:t xml:space="preserve"> </w:t>
            </w:r>
          </w:p>
          <w:p w:rsidR="00274FD3" w:rsidRDefault="00274FD3" w:rsidP="00274FD3">
            <w:pPr>
              <w:rPr>
                <w:rFonts w:ascii="Times New Roman" w:hAnsi="Times New Roman" w:cs="Times New Roman"/>
                <w:sz w:val="24"/>
              </w:rPr>
            </w:pPr>
          </w:p>
          <w:p w:rsid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w:t>
            </w:r>
          </w:p>
          <w:p w:rsid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WARS</w:t>
            </w:r>
          </w:p>
          <w:p w:rsid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A long time ago in a galaxy far,</w:t>
            </w:r>
          </w:p>
          <w:p w:rsid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far away....</w:t>
            </w:r>
          </w:p>
          <w:p w:rsid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p>
          <w:p w:rsid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Episode IV</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NEW HOPE</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It is a period of civil war.</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Rebel spaceships, striking</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from a hidden base, have won</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their first victory against</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the evil Galactic Empire.</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During the battle, Rebel</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spies managed to steal secret</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plans to the Empire's</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ultimate weapon, the DEATH</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STAR, an armored space</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station with enough power</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to destroy an entire planet.</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Pursued by the Empire's</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sinister agents, Princess</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Leia races home aboard her</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starship, custodian of the</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stolen plans that can save her</w:t>
            </w:r>
          </w:p>
          <w:p w:rsidR="00274FD3" w:rsidRPr="00274FD3" w:rsidRDefault="00274FD3" w:rsidP="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5"/>
              <w:rPr>
                <w:rFonts w:ascii="Times New Roman" w:eastAsia="Times New Roman" w:hAnsi="Times New Roman" w:cs="Times New Roman"/>
                <w:color w:val="000000"/>
                <w:sz w:val="24"/>
                <w:szCs w:val="24"/>
              </w:rPr>
            </w:pPr>
            <w:r w:rsidRPr="00274FD3">
              <w:rPr>
                <w:rFonts w:ascii="Times New Roman" w:eastAsia="Times New Roman" w:hAnsi="Times New Roman" w:cs="Times New Roman"/>
                <w:color w:val="000000"/>
                <w:sz w:val="24"/>
                <w:szCs w:val="24"/>
              </w:rPr>
              <w:t>people and restore</w:t>
            </w:r>
          </w:p>
          <w:p w:rsidR="00274FD3" w:rsidRDefault="00274FD3" w:rsidP="00274FD3">
            <w:pPr>
              <w:ind w:left="4035"/>
              <w:rPr>
                <w:rFonts w:ascii="Times New Roman" w:hAnsi="Times New Roman" w:cs="Times New Roman"/>
                <w:sz w:val="24"/>
                <w:szCs w:val="24"/>
              </w:rPr>
            </w:pPr>
            <w:r w:rsidRPr="00274FD3">
              <w:rPr>
                <w:rFonts w:ascii="Times New Roman" w:eastAsia="Times New Roman" w:hAnsi="Times New Roman" w:cs="Times New Roman"/>
                <w:color w:val="000000"/>
                <w:sz w:val="24"/>
                <w:szCs w:val="24"/>
              </w:rPr>
              <w:t>freedom to the galaxy....</w:t>
            </w:r>
          </w:p>
          <w:p w:rsidR="00274FD3" w:rsidRDefault="00274FD3" w:rsidP="00274FD3">
            <w:pPr>
              <w:rPr>
                <w:rFonts w:ascii="Times New Roman" w:hAnsi="Times New Roman" w:cs="Times New Roman"/>
                <w:sz w:val="24"/>
                <w:szCs w:val="24"/>
              </w:rPr>
            </w:pPr>
          </w:p>
          <w:p w:rsidR="00274FD3" w:rsidRPr="00274FD3" w:rsidRDefault="00274FD3" w:rsidP="00274FD3">
            <w:pPr>
              <w:rPr>
                <w:rFonts w:ascii="Times New Roman" w:hAnsi="Times New Roman" w:cs="Times New Roman"/>
                <w:sz w:val="24"/>
                <w:szCs w:val="24"/>
              </w:rPr>
            </w:pPr>
          </w:p>
        </w:tc>
      </w:tr>
    </w:tbl>
    <w:p w:rsidR="00274FD3" w:rsidRDefault="00274FD3" w:rsidP="00274FD3">
      <w:pPr>
        <w:rPr>
          <w:rFonts w:ascii="Times New Roman" w:hAnsi="Times New Roman" w:cs="Times New Roman"/>
          <w:sz w:val="24"/>
        </w:rPr>
      </w:pPr>
    </w:p>
    <w:p w:rsidR="00274FD3" w:rsidRDefault="00274FD3" w:rsidP="00274FD3">
      <w:pPr>
        <w:rPr>
          <w:rFonts w:ascii="Times New Roman" w:hAnsi="Times New Roman" w:cs="Times New Roman"/>
          <w:sz w:val="24"/>
        </w:rPr>
      </w:pPr>
    </w:p>
    <w:p w:rsidR="00382A45" w:rsidRDefault="00382A45" w:rsidP="00834D2F"/>
    <w:p w:rsidR="005D1D33" w:rsidRDefault="005D1D33" w:rsidP="00834D2F"/>
    <w:p w:rsidR="005D1D33" w:rsidRDefault="005D1D33" w:rsidP="00834D2F"/>
    <w:p w:rsidR="005D1D33" w:rsidRDefault="005D1D33" w:rsidP="00834D2F"/>
    <w:p w:rsidR="005D1D33" w:rsidRDefault="005D1D33" w:rsidP="00834D2F"/>
    <w:p w:rsidR="005D1D33" w:rsidRDefault="005D1D33" w:rsidP="005D1D33">
      <w:pPr>
        <w:rPr>
          <w:rFonts w:ascii="Times New Roman" w:hAnsi="Times New Roman" w:cs="Times New Roman"/>
          <w:b/>
          <w:sz w:val="24"/>
        </w:rPr>
      </w:pPr>
    </w:p>
    <w:p w:rsidR="005D1D33" w:rsidRDefault="005D1D33" w:rsidP="005D1D33">
      <w:pPr>
        <w:jc w:val="center"/>
        <w:rPr>
          <w:rFonts w:ascii="Times New Roman" w:hAnsi="Times New Roman" w:cs="Times New Roman"/>
          <w:b/>
          <w:sz w:val="24"/>
        </w:rPr>
      </w:pPr>
      <w:r w:rsidRPr="00274FD3">
        <w:rPr>
          <w:rFonts w:ascii="Times New Roman" w:hAnsi="Times New Roman" w:cs="Times New Roman"/>
          <w:b/>
          <w:sz w:val="24"/>
        </w:rPr>
        <w:t xml:space="preserve">Document </w:t>
      </w:r>
      <w:r>
        <w:rPr>
          <w:rFonts w:ascii="Times New Roman" w:hAnsi="Times New Roman" w:cs="Times New Roman"/>
          <w:b/>
          <w:sz w:val="24"/>
        </w:rPr>
        <w:t>4</w:t>
      </w:r>
    </w:p>
    <w:p w:rsidR="005D1D33" w:rsidRDefault="005D1D33" w:rsidP="005D1D33">
      <w:pPr>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6456F" w:rsidTr="0026456F">
        <w:tc>
          <w:tcPr>
            <w:tcW w:w="10790" w:type="dxa"/>
          </w:tcPr>
          <w:p w:rsidR="0026456F" w:rsidRPr="0026456F" w:rsidRDefault="0026456F" w:rsidP="0026456F">
            <w:pPr>
              <w:rPr>
                <w:rFonts w:ascii="Times New Roman" w:hAnsi="Times New Roman" w:cs="Times New Roman"/>
                <w:sz w:val="24"/>
                <w:szCs w:val="24"/>
              </w:rPr>
            </w:pPr>
          </w:p>
          <w:p w:rsidR="0026456F" w:rsidRPr="0026456F" w:rsidRDefault="0026456F" w:rsidP="0026456F">
            <w:pPr>
              <w:rPr>
                <w:rFonts w:ascii="Times New Roman" w:hAnsi="Times New Roman" w:cs="Times New Roman"/>
                <w:sz w:val="24"/>
                <w:szCs w:val="24"/>
              </w:rPr>
            </w:pPr>
            <w:r w:rsidRPr="0026456F">
              <w:rPr>
                <w:rFonts w:ascii="Times New Roman" w:hAnsi="Times New Roman" w:cs="Times New Roman"/>
                <w:sz w:val="24"/>
                <w:szCs w:val="24"/>
              </w:rPr>
              <w:t xml:space="preserve">Source: “Counting the Change,” article about digital media published in </w:t>
            </w:r>
            <w:r w:rsidRPr="0026456F">
              <w:rPr>
                <w:rFonts w:ascii="Times New Roman" w:hAnsi="Times New Roman" w:cs="Times New Roman"/>
                <w:i/>
                <w:sz w:val="24"/>
                <w:szCs w:val="24"/>
              </w:rPr>
              <w:t>The Economist</w:t>
            </w:r>
            <w:r w:rsidRPr="0026456F">
              <w:rPr>
                <w:rFonts w:ascii="Times New Roman" w:hAnsi="Times New Roman" w:cs="Times New Roman"/>
                <w:sz w:val="24"/>
                <w:szCs w:val="24"/>
              </w:rPr>
              <w:t xml:space="preserve">, August 16, 2013. </w:t>
            </w:r>
          </w:p>
          <w:p w:rsidR="0026456F" w:rsidRPr="0026456F" w:rsidRDefault="0026456F" w:rsidP="0026456F">
            <w:pPr>
              <w:rPr>
                <w:rFonts w:ascii="Times New Roman" w:hAnsi="Times New Roman" w:cs="Times New Roman"/>
                <w:sz w:val="24"/>
                <w:szCs w:val="24"/>
              </w:rPr>
            </w:pPr>
          </w:p>
          <w:p w:rsidR="0026456F" w:rsidRPr="0026456F" w:rsidRDefault="0026456F" w:rsidP="0026456F">
            <w:pPr>
              <w:rPr>
                <w:rFonts w:ascii="Times New Roman" w:hAnsi="Times New Roman" w:cs="Times New Roman"/>
                <w:color w:val="121212"/>
                <w:sz w:val="24"/>
                <w:szCs w:val="24"/>
                <w:lang w:val="en"/>
              </w:rPr>
            </w:pPr>
            <w:r w:rsidRPr="0026456F">
              <w:rPr>
                <w:rFonts w:ascii="Times New Roman" w:hAnsi="Times New Roman" w:cs="Times New Roman"/>
                <w:color w:val="121212"/>
                <w:sz w:val="24"/>
                <w:szCs w:val="24"/>
                <w:lang w:val="en"/>
              </w:rPr>
              <w:t>After years of wreaking havoc, the internet is helping media companies to grow. PricewaterhouseCoopers (PWC), a professional-services firm, reckons that revenues for online media and entertainment will increase by around 13% a year for the next five years. Even in music, which took the biggest hit from the internet, downloads are something to sing about. For the first time in over a decade global music-industry revenues grew last year, by about 0.2%, according to the IFPI, a trade group. Online sales just about made up for the drop in physical ones for the first time. Subscription services, such as Spotify and Deezer, let people stream songs over the internet either for a subscription or free with adverts. Online radio is also growing. On-demand and radio streaming services raked in about $1 billion, 15% of the industry’s revenues in America in 2012.</w:t>
            </w:r>
          </w:p>
          <w:p w:rsidR="0026456F" w:rsidRPr="0026456F" w:rsidRDefault="0026456F" w:rsidP="0026456F">
            <w:pPr>
              <w:rPr>
                <w:rFonts w:ascii="Times New Roman" w:hAnsi="Times New Roman" w:cs="Times New Roman"/>
                <w:sz w:val="24"/>
                <w:szCs w:val="24"/>
              </w:rPr>
            </w:pPr>
          </w:p>
          <w:p w:rsidR="0026456F" w:rsidRDefault="0026456F" w:rsidP="00834D2F"/>
        </w:tc>
      </w:tr>
    </w:tbl>
    <w:p w:rsidR="005D1D33" w:rsidRDefault="005D1D33" w:rsidP="00834D2F"/>
    <w:sectPr w:rsidR="005D1D33" w:rsidSect="00834D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DE1" w:rsidRDefault="00474DE1" w:rsidP="00351EDD">
      <w:pPr>
        <w:spacing w:after="0" w:line="240" w:lineRule="auto"/>
      </w:pPr>
      <w:r>
        <w:separator/>
      </w:r>
    </w:p>
  </w:endnote>
  <w:endnote w:type="continuationSeparator" w:id="0">
    <w:p w:rsidR="00474DE1" w:rsidRDefault="00474DE1" w:rsidP="0035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DE1" w:rsidRDefault="00474DE1" w:rsidP="00351EDD">
      <w:pPr>
        <w:spacing w:after="0" w:line="240" w:lineRule="auto"/>
      </w:pPr>
      <w:r>
        <w:separator/>
      </w:r>
    </w:p>
  </w:footnote>
  <w:footnote w:type="continuationSeparator" w:id="0">
    <w:p w:rsidR="00474DE1" w:rsidRDefault="00474DE1" w:rsidP="00351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71"/>
    <w:rsid w:val="00000389"/>
    <w:rsid w:val="00116CC4"/>
    <w:rsid w:val="0026456F"/>
    <w:rsid w:val="00274FD3"/>
    <w:rsid w:val="00351EDD"/>
    <w:rsid w:val="00353AD2"/>
    <w:rsid w:val="00382A45"/>
    <w:rsid w:val="00410B51"/>
    <w:rsid w:val="00474DE1"/>
    <w:rsid w:val="005D1D33"/>
    <w:rsid w:val="00667D71"/>
    <w:rsid w:val="007E5071"/>
    <w:rsid w:val="00834D2F"/>
    <w:rsid w:val="008A5256"/>
    <w:rsid w:val="00A07E45"/>
    <w:rsid w:val="00A30AA2"/>
    <w:rsid w:val="00BF49D2"/>
    <w:rsid w:val="00C33292"/>
    <w:rsid w:val="00DC51B3"/>
    <w:rsid w:val="00EF6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ABEB0-0061-47D9-AF03-9C4F7A4F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74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4FD3"/>
    <w:rPr>
      <w:rFonts w:ascii="Courier New" w:eastAsia="Times New Roman" w:hAnsi="Courier New" w:cs="Courier New"/>
      <w:sz w:val="20"/>
      <w:szCs w:val="20"/>
    </w:rPr>
  </w:style>
  <w:style w:type="paragraph" w:styleId="Header">
    <w:name w:val="header"/>
    <w:basedOn w:val="Normal"/>
    <w:link w:val="HeaderChar"/>
    <w:uiPriority w:val="99"/>
    <w:unhideWhenUsed/>
    <w:rsid w:val="0035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DD"/>
  </w:style>
  <w:style w:type="paragraph" w:styleId="Footer">
    <w:name w:val="footer"/>
    <w:basedOn w:val="Normal"/>
    <w:link w:val="FooterChar"/>
    <w:uiPriority w:val="99"/>
    <w:unhideWhenUsed/>
    <w:rsid w:val="0035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DD"/>
  </w:style>
  <w:style w:type="character" w:styleId="Hyperlink">
    <w:name w:val="Hyperlink"/>
    <w:basedOn w:val="DefaultParagraphFont"/>
    <w:uiPriority w:val="99"/>
    <w:unhideWhenUsed/>
    <w:rsid w:val="0026456F"/>
    <w:rPr>
      <w:color w:val="0563C1" w:themeColor="hyperlink"/>
      <w:u w:val="single"/>
    </w:rPr>
  </w:style>
  <w:style w:type="character" w:customStyle="1" w:styleId="Mention">
    <w:name w:val="Mention"/>
    <w:basedOn w:val="DefaultParagraphFont"/>
    <w:uiPriority w:val="99"/>
    <w:semiHidden/>
    <w:unhideWhenUsed/>
    <w:rsid w:val="002645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63525">
      <w:bodyDiv w:val="1"/>
      <w:marLeft w:val="0"/>
      <w:marRight w:val="0"/>
      <w:marTop w:val="0"/>
      <w:marBottom w:val="0"/>
      <w:divBdr>
        <w:top w:val="none" w:sz="0" w:space="0" w:color="auto"/>
        <w:left w:val="none" w:sz="0" w:space="0" w:color="auto"/>
        <w:bottom w:val="none" w:sz="0" w:space="0" w:color="auto"/>
        <w:right w:val="none" w:sz="0" w:space="0" w:color="auto"/>
      </w:divBdr>
      <w:divsChild>
        <w:div w:id="1190558766">
          <w:marLeft w:val="75"/>
          <w:marRight w:val="75"/>
          <w:marTop w:val="105"/>
          <w:marBottom w:val="0"/>
          <w:divBdr>
            <w:top w:val="none" w:sz="0" w:space="0" w:color="auto"/>
            <w:left w:val="none" w:sz="0" w:space="0" w:color="auto"/>
            <w:bottom w:val="none" w:sz="0" w:space="0" w:color="auto"/>
            <w:right w:val="none" w:sz="0" w:space="0" w:color="auto"/>
          </w:divBdr>
          <w:divsChild>
            <w:div w:id="279336597">
              <w:marLeft w:val="0"/>
              <w:marRight w:val="0"/>
              <w:marTop w:val="0"/>
              <w:marBottom w:val="0"/>
              <w:divBdr>
                <w:top w:val="none" w:sz="0" w:space="0" w:color="auto"/>
                <w:left w:val="none" w:sz="0" w:space="0" w:color="auto"/>
                <w:bottom w:val="none" w:sz="0" w:space="0" w:color="auto"/>
                <w:right w:val="none" w:sz="0" w:space="0" w:color="auto"/>
              </w:divBdr>
              <w:divsChild>
                <w:div w:id="1310013204">
                  <w:marLeft w:val="0"/>
                  <w:marRight w:val="0"/>
                  <w:marTop w:val="0"/>
                  <w:marBottom w:val="0"/>
                  <w:divBdr>
                    <w:top w:val="none" w:sz="0" w:space="0" w:color="auto"/>
                    <w:left w:val="none" w:sz="0" w:space="0" w:color="auto"/>
                    <w:bottom w:val="none" w:sz="0" w:space="0" w:color="auto"/>
                    <w:right w:val="none" w:sz="0" w:space="0" w:color="auto"/>
                  </w:divBdr>
                  <w:divsChild>
                    <w:div w:id="543492836">
                      <w:marLeft w:val="45"/>
                      <w:marRight w:val="0"/>
                      <w:marTop w:val="0"/>
                      <w:marBottom w:val="0"/>
                      <w:divBdr>
                        <w:top w:val="none" w:sz="0" w:space="0" w:color="auto"/>
                        <w:left w:val="none" w:sz="0" w:space="0" w:color="auto"/>
                        <w:bottom w:val="none" w:sz="0" w:space="0" w:color="auto"/>
                        <w:right w:val="none" w:sz="0" w:space="0" w:color="auto"/>
                      </w:divBdr>
                      <w:divsChild>
                        <w:div w:id="1608001773">
                          <w:marLeft w:val="0"/>
                          <w:marRight w:val="0"/>
                          <w:marTop w:val="75"/>
                          <w:marBottom w:val="75"/>
                          <w:divBdr>
                            <w:top w:val="none" w:sz="0" w:space="0" w:color="auto"/>
                            <w:left w:val="none" w:sz="0" w:space="0" w:color="auto"/>
                            <w:bottom w:val="none" w:sz="0" w:space="0" w:color="auto"/>
                            <w:right w:val="none" w:sz="0" w:space="0" w:color="auto"/>
                          </w:divBdr>
                          <w:divsChild>
                            <w:div w:id="732702785">
                              <w:marLeft w:val="0"/>
                              <w:marRight w:val="0"/>
                              <w:marTop w:val="0"/>
                              <w:marBottom w:val="0"/>
                              <w:divBdr>
                                <w:top w:val="none" w:sz="0" w:space="0" w:color="auto"/>
                                <w:left w:val="none" w:sz="0" w:space="0" w:color="auto"/>
                                <w:bottom w:val="none" w:sz="0" w:space="0" w:color="auto"/>
                                <w:right w:val="none" w:sz="0" w:space="0" w:color="auto"/>
                              </w:divBdr>
                              <w:divsChild>
                                <w:div w:id="20109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hlerj@pearlandis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FAHLER, JOSHUA</dc:creator>
  <cp:keywords/>
  <dc:description/>
  <cp:lastModifiedBy>DZUBIN, TIFFANY 1</cp:lastModifiedBy>
  <cp:revision>2</cp:revision>
  <dcterms:created xsi:type="dcterms:W3CDTF">2018-08-15T16:32:00Z</dcterms:created>
  <dcterms:modified xsi:type="dcterms:W3CDTF">2018-08-15T16:32:00Z</dcterms:modified>
</cp:coreProperties>
</file>